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6D" w:rsidRPr="006B0034" w:rsidRDefault="00383F6D" w:rsidP="00383F6D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0034">
        <w:rPr>
          <w:rFonts w:ascii="Times New Roman" w:hAnsi="Times New Roman" w:cs="Times New Roman"/>
          <w:b/>
        </w:rPr>
        <w:t xml:space="preserve">CONTINUUM OF CARE </w:t>
      </w:r>
      <w:r w:rsidR="00892CCF" w:rsidRPr="006B0034">
        <w:rPr>
          <w:rFonts w:ascii="Times New Roman" w:hAnsi="Times New Roman" w:cs="Times New Roman"/>
          <w:b/>
        </w:rPr>
        <w:t>(CoC) PROGRAM</w:t>
      </w:r>
    </w:p>
    <w:p w:rsidR="00383F6D" w:rsidRPr="006B0034" w:rsidRDefault="00892CCF" w:rsidP="00767223">
      <w:pPr>
        <w:spacing w:after="0"/>
        <w:jc w:val="center"/>
        <w:rPr>
          <w:rFonts w:ascii="Times New Roman" w:hAnsi="Times New Roman" w:cs="Times New Roman"/>
          <w:b/>
        </w:rPr>
      </w:pPr>
      <w:r w:rsidRPr="006B0034">
        <w:rPr>
          <w:rFonts w:ascii="Times New Roman" w:hAnsi="Times New Roman" w:cs="Times New Roman"/>
          <w:b/>
        </w:rPr>
        <w:t xml:space="preserve">INTERNAL WELLNESS </w:t>
      </w:r>
      <w:r w:rsidR="00C058D2" w:rsidRPr="006B0034">
        <w:rPr>
          <w:rFonts w:ascii="Times New Roman" w:hAnsi="Times New Roman" w:cs="Times New Roman"/>
          <w:b/>
        </w:rPr>
        <w:t>“TOP TEN” LIST</w:t>
      </w:r>
    </w:p>
    <w:p w:rsidR="00767223" w:rsidRPr="00C10CBB" w:rsidRDefault="00767223" w:rsidP="007672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B0034" w:rsidRDefault="006B0034" w:rsidP="007A7D33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7A7D33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is “Top Ten” checklist is a supplement to the </w:t>
      </w:r>
      <w:r w:rsidRPr="00C058D2">
        <w:rPr>
          <w:rFonts w:ascii="Times New Roman" w:hAnsi="Times New Roman" w:cs="Times New Roman"/>
          <w:b/>
          <w:i/>
        </w:rPr>
        <w:t>CoC Internal</w:t>
      </w:r>
      <w:r w:rsidRPr="007A7D33">
        <w:rPr>
          <w:rFonts w:ascii="Times New Roman" w:hAnsi="Times New Roman" w:cs="Times New Roman"/>
          <w:b/>
          <w:i/>
        </w:rPr>
        <w:t xml:space="preserve"> Wellness Checklist</w:t>
      </w:r>
      <w:r>
        <w:rPr>
          <w:rFonts w:ascii="Times New Roman" w:hAnsi="Times New Roman" w:cs="Times New Roman"/>
        </w:rPr>
        <w:t xml:space="preserve">.  It is </w:t>
      </w:r>
      <w:r w:rsidRPr="00534BAC">
        <w:rPr>
          <w:rFonts w:ascii="Times New Roman" w:hAnsi="Times New Roman" w:cs="Times New Roman"/>
        </w:rPr>
        <w:t>intended to</w:t>
      </w:r>
      <w:r>
        <w:rPr>
          <w:rFonts w:ascii="Times New Roman" w:hAnsi="Times New Roman" w:cs="Times New Roman"/>
        </w:rPr>
        <w:t xml:space="preserve"> highlight ten critical recordkeeping areas in the operation of the CoC Program.  Grantees are encouraged to utilize this resource to proactively monitor the current “health” of </w:t>
      </w:r>
      <w:r w:rsidRPr="007A7D33">
        <w:rPr>
          <w:rFonts w:ascii="Times New Roman" w:hAnsi="Times New Roman" w:cs="Times New Roman"/>
        </w:rPr>
        <w:t>their CoC grants</w:t>
      </w:r>
      <w:r>
        <w:rPr>
          <w:rFonts w:ascii="Times New Roman" w:hAnsi="Times New Roman" w:cs="Times New Roman"/>
        </w:rPr>
        <w:t>.</w:t>
      </w:r>
    </w:p>
    <w:p w:rsidR="00A3335C" w:rsidRPr="00534BAC" w:rsidRDefault="007A7D33" w:rsidP="007A7D3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BAC">
        <w:rPr>
          <w:rFonts w:ascii="Times New Roman" w:hAnsi="Times New Roman" w:cs="Times New Roman"/>
          <w:sz w:val="20"/>
          <w:szCs w:val="20"/>
          <w:u w:val="thick"/>
        </w:rPr>
        <w:t xml:space="preserve">                                                                                                                                                             </w:t>
      </w:r>
    </w:p>
    <w:p w:rsidR="006B0034" w:rsidRDefault="006B0034" w:rsidP="00F32A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76751" w:rsidRPr="007A7D33" w:rsidRDefault="00576751" w:rsidP="000812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0CBB">
        <w:rPr>
          <w:rFonts w:ascii="Times New Roman" w:hAnsi="Times New Roman" w:cs="Times New Roman"/>
          <w:b/>
          <w:u w:val="single"/>
        </w:rPr>
        <w:t>Program Participant-Level Recordkeeping</w:t>
      </w:r>
    </w:p>
    <w:p w:rsidR="00576751" w:rsidRPr="00B97FEA" w:rsidRDefault="00576751" w:rsidP="00576751">
      <w:pPr>
        <w:pStyle w:val="ListParagraph"/>
        <w:ind w:left="90"/>
        <w:rPr>
          <w:rFonts w:ascii="Times New Roman" w:hAnsi="Times New Roman" w:cs="Times New Roman"/>
        </w:rPr>
      </w:pPr>
      <w:r w:rsidRPr="00B97FEA">
        <w:rPr>
          <w:rFonts w:ascii="Times New Roman" w:hAnsi="Times New Roman" w:cs="Times New Roman"/>
        </w:rPr>
        <w:t xml:space="preserve">The critical </w:t>
      </w:r>
      <w:r w:rsidR="002913EB">
        <w:rPr>
          <w:rFonts w:ascii="Times New Roman" w:hAnsi="Times New Roman" w:cs="Times New Roman"/>
        </w:rPr>
        <w:t xml:space="preserve">records </w:t>
      </w:r>
      <w:r w:rsidR="002913EB" w:rsidRPr="00B97FEA">
        <w:rPr>
          <w:rFonts w:ascii="Times New Roman" w:hAnsi="Times New Roman" w:cs="Times New Roman"/>
        </w:rPr>
        <w:t>to be maintained for each program participant include</w:t>
      </w:r>
      <w:r w:rsidRPr="00B97FEA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576751" w:rsidRPr="007A7D33" w:rsidTr="00E41187">
        <w:tc>
          <w:tcPr>
            <w:tcW w:w="4698" w:type="dxa"/>
          </w:tcPr>
          <w:p w:rsidR="00576751" w:rsidRPr="00710DCF" w:rsidRDefault="00657AA5" w:rsidP="00E41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6751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751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576751" w:rsidRPr="00710DCF">
              <w:rPr>
                <w:rFonts w:ascii="Times New Roman" w:hAnsi="Times New Roman" w:cs="Times New Roman"/>
              </w:rPr>
              <w:fldChar w:fldCharType="end"/>
            </w:r>
            <w:r w:rsidR="00576751" w:rsidRPr="00710DCF">
              <w:rPr>
                <w:rFonts w:ascii="Times New Roman" w:hAnsi="Times New Roman" w:cs="Times New Roman"/>
              </w:rPr>
              <w:t xml:space="preserve">     </w:t>
            </w:r>
            <w:r w:rsidR="00576751">
              <w:rPr>
                <w:rFonts w:ascii="Times New Roman" w:hAnsi="Times New Roman" w:cs="Times New Roman"/>
                <w:b/>
              </w:rPr>
              <w:t>Participant Eligibility</w:t>
            </w:r>
          </w:p>
          <w:p w:rsidR="00576751" w:rsidRPr="007A7D33" w:rsidRDefault="00576751" w:rsidP="00E4118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Ensure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documentation of a 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participant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 homelessness or at-risk of homelessness status and disability, if applicable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is obtained at 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intake.</w:t>
            </w:r>
          </w:p>
          <w:p w:rsidR="00576751" w:rsidRPr="007A7D33" w:rsidRDefault="00576751" w:rsidP="00E411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576.500(b) or (c); 24 CFR 578.103(a)(3), (4), or (5); and 24 CFR 103(a)(17)</w:t>
            </w:r>
          </w:p>
          <w:p w:rsidR="00576751" w:rsidRPr="007A7D33" w:rsidRDefault="00576751" w:rsidP="00E4118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657AA5" w:rsidRPr="00710DCF" w:rsidRDefault="00657AA5" w:rsidP="0065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6751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751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576751" w:rsidRPr="00710DCF">
              <w:rPr>
                <w:rFonts w:ascii="Times New Roman" w:hAnsi="Times New Roman" w:cs="Times New Roman"/>
              </w:rPr>
              <w:fldChar w:fldCharType="end"/>
            </w:r>
            <w:r w:rsidR="00576751" w:rsidRPr="00710DCF">
              <w:rPr>
                <w:rFonts w:ascii="Times New Roman" w:hAnsi="Times New Roman" w:cs="Times New Roman"/>
              </w:rPr>
              <w:t xml:space="preserve"> </w:t>
            </w:r>
            <w:r w:rsidRPr="00710DCF">
              <w:rPr>
                <w:rFonts w:ascii="Times New Roman" w:hAnsi="Times New Roman" w:cs="Times New Roman"/>
              </w:rPr>
              <w:t xml:space="preserve">   </w:t>
            </w:r>
            <w:r w:rsidRPr="00710DCF">
              <w:rPr>
                <w:rFonts w:ascii="Times New Roman" w:hAnsi="Times New Roman" w:cs="Times New Roman"/>
                <w:b/>
              </w:rPr>
              <w:t>Housing Quality Standards (HQS)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Ensure structures or units assisted with CoC funds 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t HQS at lease-up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re-inspecte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at least annually thereafter.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578.75(b) and 24 CFR 578.103(a)(8)</w:t>
            </w:r>
          </w:p>
          <w:p w:rsidR="00657AA5" w:rsidRDefault="00657AA5" w:rsidP="00E41187">
            <w:pPr>
              <w:rPr>
                <w:rFonts w:ascii="Times New Roman" w:hAnsi="Times New Roman" w:cs="Times New Roman"/>
              </w:rPr>
            </w:pPr>
          </w:p>
          <w:p w:rsidR="00576751" w:rsidRPr="007A7D33" w:rsidRDefault="00576751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51" w:rsidRPr="007A7D33" w:rsidTr="00E41187">
        <w:tc>
          <w:tcPr>
            <w:tcW w:w="4698" w:type="dxa"/>
          </w:tcPr>
          <w:p w:rsidR="00657AA5" w:rsidRDefault="00657AA5" w:rsidP="0065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6751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751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576751" w:rsidRPr="00710DCF">
              <w:rPr>
                <w:rFonts w:ascii="Times New Roman" w:hAnsi="Times New Roman" w:cs="Times New Roman"/>
              </w:rPr>
              <w:fldChar w:fldCharType="end"/>
            </w:r>
            <w:r w:rsidR="00576751" w:rsidRPr="00710DCF">
              <w:rPr>
                <w:rFonts w:ascii="Times New Roman" w:hAnsi="Times New Roman" w:cs="Times New Roman"/>
              </w:rPr>
              <w:t xml:space="preserve">    </w:t>
            </w:r>
            <w:r w:rsidRPr="00710DCF">
              <w:rPr>
                <w:rFonts w:ascii="Times New Roman" w:hAnsi="Times New Roman" w:cs="Times New Roman"/>
              </w:rPr>
              <w:t xml:space="preserve"> </w:t>
            </w:r>
            <w:r w:rsidRPr="00710DCF">
              <w:rPr>
                <w:rFonts w:ascii="Times New Roman" w:hAnsi="Times New Roman" w:cs="Times New Roman"/>
                <w:b/>
              </w:rPr>
              <w:t xml:space="preserve">Leasing and Rental Assistance </w:t>
            </w:r>
          </w:p>
          <w:p w:rsidR="00657AA5" w:rsidRPr="00710DCF" w:rsidRDefault="00657AA5" w:rsidP="0065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710DCF">
              <w:rPr>
                <w:rFonts w:ascii="Times New Roman" w:hAnsi="Times New Roman" w:cs="Times New Roman"/>
                <w:b/>
              </w:rPr>
              <w:t>Requirements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Ensure rents charged for a structure or unit assisted with leasing or rental assistance funds meet standards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FMR or rent reasonableness.</w:t>
            </w:r>
          </w:p>
          <w:p w:rsidR="00657AA5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578.49 and 24 CFR 578.51</w:t>
            </w:r>
          </w:p>
          <w:p w:rsidR="00576751" w:rsidRPr="007A7D33" w:rsidRDefault="00576751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</w:tcPr>
          <w:p w:rsidR="00657AA5" w:rsidRPr="007F53E3" w:rsidRDefault="00657AA5" w:rsidP="0065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13EB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3EB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2913EB" w:rsidRPr="00710DCF">
              <w:rPr>
                <w:rFonts w:ascii="Times New Roman" w:hAnsi="Times New Roman" w:cs="Times New Roman"/>
              </w:rPr>
              <w:fldChar w:fldCharType="end"/>
            </w:r>
            <w:r w:rsidR="002913EB" w:rsidRPr="00710DCF">
              <w:rPr>
                <w:rFonts w:ascii="Times New Roman" w:hAnsi="Times New Roman" w:cs="Times New Roman"/>
              </w:rPr>
              <w:t xml:space="preserve"> </w:t>
            </w:r>
            <w:r w:rsidRPr="00710DCF">
              <w:rPr>
                <w:rFonts w:ascii="Times New Roman" w:hAnsi="Times New Roman" w:cs="Times New Roman"/>
                <w:b/>
              </w:rPr>
              <w:t>Use of</w:t>
            </w:r>
            <w:r w:rsidR="00BC6AC6">
              <w:rPr>
                <w:rFonts w:ascii="Times New Roman" w:hAnsi="Times New Roman" w:cs="Times New Roman"/>
                <w:b/>
              </w:rPr>
              <w:t xml:space="preserve"> a </w:t>
            </w:r>
            <w:r w:rsidRPr="00710DCF">
              <w:rPr>
                <w:rFonts w:ascii="Times New Roman" w:hAnsi="Times New Roman" w:cs="Times New Roman"/>
                <w:b/>
              </w:rPr>
              <w:t>Coordinated</w:t>
            </w:r>
            <w:r w:rsidR="00BC6AC6">
              <w:rPr>
                <w:rFonts w:ascii="Times New Roman" w:hAnsi="Times New Roman" w:cs="Times New Roman"/>
                <w:b/>
              </w:rPr>
              <w:t xml:space="preserve"> Entry </w:t>
            </w:r>
            <w:r w:rsidRPr="00710DCF">
              <w:rPr>
                <w:rFonts w:ascii="Times New Roman" w:hAnsi="Times New Roman" w:cs="Times New Roman"/>
                <w:b/>
              </w:rPr>
              <w:t>System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Ensure participants are </w:t>
            </w:r>
            <w:proofErr w:type="gramStart"/>
            <w:r w:rsidR="007F53E3">
              <w:rPr>
                <w:rFonts w:ascii="Times New Roman" w:hAnsi="Times New Roman" w:cs="Times New Roman"/>
                <w:sz w:val="20"/>
                <w:szCs w:val="20"/>
              </w:rPr>
              <w:t>assessed  and</w:t>
            </w:r>
            <w:proofErr w:type="gramEnd"/>
            <w:r w:rsidR="007F53E3">
              <w:rPr>
                <w:rFonts w:ascii="Times New Roman" w:hAnsi="Times New Roman" w:cs="Times New Roman"/>
                <w:sz w:val="20"/>
                <w:szCs w:val="20"/>
              </w:rPr>
              <w:t xml:space="preserve"> referred using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 the CoC’s coordinated assessment system.</w:t>
            </w:r>
          </w:p>
          <w:p w:rsidR="00576751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CFR 578.23(c)(9) and </w:t>
            </w:r>
            <w:r w:rsidRPr="007A7D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CFR 578.103(a)(17)</w:t>
            </w:r>
          </w:p>
        </w:tc>
      </w:tr>
      <w:tr w:rsidR="00576751" w:rsidRPr="007A7D33" w:rsidTr="00E41187">
        <w:tc>
          <w:tcPr>
            <w:tcW w:w="4698" w:type="dxa"/>
          </w:tcPr>
          <w:p w:rsidR="00657AA5" w:rsidRPr="00710DCF" w:rsidRDefault="00657AA5" w:rsidP="0065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6751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751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576751" w:rsidRPr="00710DCF">
              <w:rPr>
                <w:rFonts w:ascii="Times New Roman" w:hAnsi="Times New Roman" w:cs="Times New Roman"/>
              </w:rPr>
              <w:fldChar w:fldCharType="end"/>
            </w:r>
            <w:r w:rsidR="00576751" w:rsidRPr="00710DCF">
              <w:rPr>
                <w:rFonts w:ascii="Times New Roman" w:hAnsi="Times New Roman" w:cs="Times New Roman"/>
              </w:rPr>
              <w:t xml:space="preserve">  </w:t>
            </w:r>
            <w:r w:rsidRPr="00710DCF">
              <w:rPr>
                <w:rFonts w:ascii="Times New Roman" w:hAnsi="Times New Roman" w:cs="Times New Roman"/>
                <w:b/>
              </w:rPr>
              <w:t>Examination of Income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Ensure participant income documentation is examined at intake and re-examined at least annually.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578.77(b)(4) and 24 CFR 578.103(a)(6)</w:t>
            </w:r>
          </w:p>
          <w:p w:rsidR="00576751" w:rsidRPr="007A7D33" w:rsidRDefault="00576751" w:rsidP="00657AA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8" w:type="dxa"/>
          </w:tcPr>
          <w:p w:rsidR="00657AA5" w:rsidRDefault="00657AA5" w:rsidP="0065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3EB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3EB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2913EB" w:rsidRPr="00710DCF">
              <w:rPr>
                <w:rFonts w:ascii="Times New Roman" w:hAnsi="Times New Roman" w:cs="Times New Roman"/>
              </w:rPr>
              <w:fldChar w:fldCharType="end"/>
            </w:r>
            <w:r w:rsidR="002913EB" w:rsidRPr="00710DCF">
              <w:rPr>
                <w:rFonts w:ascii="Times New Roman" w:hAnsi="Times New Roman" w:cs="Times New Roman"/>
              </w:rPr>
              <w:t xml:space="preserve"> </w:t>
            </w:r>
            <w:r w:rsidRPr="00710DCF">
              <w:rPr>
                <w:rFonts w:ascii="Times New Roman" w:hAnsi="Times New Roman" w:cs="Times New Roman"/>
                <w:b/>
              </w:rPr>
              <w:t>Use of H</w:t>
            </w:r>
            <w:r>
              <w:rPr>
                <w:rFonts w:ascii="Times New Roman" w:hAnsi="Times New Roman" w:cs="Times New Roman"/>
                <w:b/>
              </w:rPr>
              <w:t xml:space="preserve">omeless </w:t>
            </w:r>
            <w:r w:rsidRPr="00710DCF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anagement </w:t>
            </w:r>
          </w:p>
          <w:p w:rsidR="00657AA5" w:rsidRPr="00710DCF" w:rsidRDefault="00657AA5" w:rsidP="0065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710DC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nformation </w:t>
            </w:r>
            <w:r w:rsidRPr="00710DCF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ystem (HMIS)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Ensure participant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 are entered in the CoC’s HMIS or a comparable database.</w:t>
            </w:r>
          </w:p>
          <w:p w:rsidR="00576751" w:rsidRPr="007A7D33" w:rsidRDefault="00657AA5" w:rsidP="002913E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576.500(b) or (c); 24 CFR 578.103(a)(3)</w:t>
            </w:r>
            <w:r w:rsidR="0057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32ACC" w:rsidRPr="007A7D33" w:rsidRDefault="00576751" w:rsidP="00F32A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1676E1" w:rsidRPr="00B97FEA">
        <w:rPr>
          <w:rFonts w:ascii="Times New Roman" w:hAnsi="Times New Roman" w:cs="Times New Roman"/>
          <w:b/>
          <w:u w:val="single"/>
        </w:rPr>
        <w:t>General Recordkeeping and Financial Files</w:t>
      </w:r>
    </w:p>
    <w:p w:rsidR="004C6235" w:rsidRPr="00B97FEA" w:rsidRDefault="00010C0E" w:rsidP="00F32ACC">
      <w:pPr>
        <w:spacing w:line="240" w:lineRule="auto"/>
        <w:rPr>
          <w:rFonts w:ascii="Times New Roman" w:hAnsi="Times New Roman" w:cs="Times New Roman"/>
        </w:rPr>
      </w:pPr>
      <w:r w:rsidRPr="00B97FEA">
        <w:rPr>
          <w:rFonts w:ascii="Times New Roman" w:hAnsi="Times New Roman" w:cs="Times New Roman"/>
        </w:rPr>
        <w:t xml:space="preserve">The critical </w:t>
      </w:r>
      <w:r w:rsidR="002913EB">
        <w:rPr>
          <w:rFonts w:ascii="Times New Roman" w:hAnsi="Times New Roman" w:cs="Times New Roman"/>
        </w:rPr>
        <w:t xml:space="preserve">records </w:t>
      </w:r>
      <w:r w:rsidR="002913EB" w:rsidRPr="00B97FEA">
        <w:rPr>
          <w:rFonts w:ascii="Times New Roman" w:hAnsi="Times New Roman" w:cs="Times New Roman"/>
        </w:rPr>
        <w:t>to be maintained by each recipient and/or subrecipient include</w:t>
      </w:r>
      <w:r w:rsidRPr="00B97FEA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680"/>
        <w:gridCol w:w="4698"/>
      </w:tblGrid>
      <w:tr w:rsidR="00A722B7" w:rsidRPr="007A7D33" w:rsidTr="00710DCF">
        <w:tc>
          <w:tcPr>
            <w:tcW w:w="4680" w:type="dxa"/>
          </w:tcPr>
          <w:p w:rsidR="00596706" w:rsidRPr="00710DCF" w:rsidRDefault="00657AA5" w:rsidP="005967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6772B"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6772B"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="0016772B" w:rsidRPr="00710DCF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16772B" w:rsidRPr="00710DCF">
              <w:rPr>
                <w:rFonts w:ascii="Times New Roman" w:hAnsi="Times New Roman" w:cs="Times New Roman"/>
              </w:rPr>
              <w:t xml:space="preserve">     </w:t>
            </w:r>
            <w:r w:rsidR="00C10CBB" w:rsidRPr="00710DCF">
              <w:rPr>
                <w:rFonts w:ascii="Times New Roman" w:hAnsi="Times New Roman" w:cs="Times New Roman"/>
                <w:b/>
              </w:rPr>
              <w:t xml:space="preserve">Standard Operating </w:t>
            </w:r>
            <w:r w:rsidR="00596706" w:rsidRPr="00710DCF">
              <w:rPr>
                <w:rFonts w:ascii="Times New Roman" w:hAnsi="Times New Roman" w:cs="Times New Roman"/>
                <w:b/>
              </w:rPr>
              <w:t>Procedures</w:t>
            </w:r>
          </w:p>
          <w:p w:rsidR="00596706" w:rsidRPr="007A7D33" w:rsidRDefault="00596706" w:rsidP="00596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Maintain </w:t>
            </w:r>
            <w:r w:rsidR="00ED71A4">
              <w:rPr>
                <w:rFonts w:ascii="Times New Roman" w:hAnsi="Times New Roman" w:cs="Times New Roman"/>
                <w:sz w:val="20"/>
                <w:szCs w:val="20"/>
              </w:rPr>
              <w:t xml:space="preserve">policies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r w:rsidR="00C10CBB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C008FE">
              <w:rPr>
                <w:rFonts w:ascii="Times New Roman" w:hAnsi="Times New Roman" w:cs="Times New Roman"/>
                <w:sz w:val="20"/>
                <w:szCs w:val="20"/>
              </w:rPr>
              <w:t xml:space="preserve">intake, </w:t>
            </w:r>
            <w:r w:rsidR="00C10CBB">
              <w:rPr>
                <w:rFonts w:ascii="Times New Roman" w:hAnsi="Times New Roman" w:cs="Times New Roman"/>
                <w:sz w:val="20"/>
                <w:szCs w:val="20"/>
              </w:rPr>
              <w:t xml:space="preserve">program operation, </w:t>
            </w:r>
            <w:r w:rsidR="00710DCF">
              <w:rPr>
                <w:rFonts w:ascii="Times New Roman" w:hAnsi="Times New Roman" w:cs="Times New Roman"/>
                <w:sz w:val="20"/>
                <w:szCs w:val="20"/>
              </w:rPr>
              <w:t>recordkeeping</w:t>
            </w:r>
            <w:r w:rsidR="00C10CBB">
              <w:rPr>
                <w:rFonts w:ascii="Times New Roman" w:hAnsi="Times New Roman" w:cs="Times New Roman"/>
                <w:sz w:val="20"/>
                <w:szCs w:val="20"/>
              </w:rPr>
              <w:t>, and subrecipient oversight</w:t>
            </w:r>
            <w:r w:rsidR="00710DC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00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DCF">
              <w:rPr>
                <w:rFonts w:ascii="Times New Roman" w:hAnsi="Times New Roman" w:cs="Times New Roman"/>
                <w:sz w:val="20"/>
                <w:szCs w:val="20"/>
              </w:rPr>
              <w:t>monitoring</w:t>
            </w:r>
            <w:r w:rsidR="00C10CB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ensure that CoC funds are used appropriately</w:t>
            </w:r>
            <w:r w:rsidR="00710D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2B7" w:rsidRPr="007A7D33" w:rsidRDefault="00A722B7" w:rsidP="00291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CFR </w:t>
            </w:r>
            <w:r w:rsidR="004F0B2D">
              <w:rPr>
                <w:rFonts w:ascii="Times New Roman" w:hAnsi="Times New Roman" w:cs="Times New Roman"/>
                <w:b/>
                <w:sz w:val="20"/>
                <w:szCs w:val="20"/>
              </w:rPr>
              <w:t>578.103(a) and</w:t>
            </w:r>
            <w:r w:rsidR="00710D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0DCF"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578.23(c)</w:t>
            </w:r>
          </w:p>
        </w:tc>
        <w:tc>
          <w:tcPr>
            <w:tcW w:w="4698" w:type="dxa"/>
          </w:tcPr>
          <w:p w:rsidR="00657AA5" w:rsidRPr="00710DCF" w:rsidRDefault="00657AA5" w:rsidP="0065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00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B0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Pr="00710DCF">
              <w:rPr>
                <w:rFonts w:ascii="Times New Roman" w:hAnsi="Times New Roman" w:cs="Times New Roman"/>
              </w:rPr>
              <w:fldChar w:fldCharType="end"/>
            </w:r>
            <w:r w:rsidRPr="00710DCF">
              <w:rPr>
                <w:rFonts w:ascii="Times New Roman" w:hAnsi="Times New Roman" w:cs="Times New Roman"/>
              </w:rPr>
              <w:t xml:space="preserve">     </w:t>
            </w:r>
            <w:r w:rsidRPr="00710DCF">
              <w:rPr>
                <w:rFonts w:ascii="Times New Roman" w:hAnsi="Times New Roman" w:cs="Times New Roman"/>
                <w:b/>
              </w:rPr>
              <w:t>Match Sources and Uses</w:t>
            </w:r>
          </w:p>
          <w:p w:rsidR="00657AA5" w:rsidRPr="007A7D33" w:rsidRDefault="00657AA5" w:rsidP="0065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Ensure grant funds, except leasing funds, are matched with no less than 25 percent of cash or in-kind contributions from other sources.</w:t>
            </w:r>
          </w:p>
          <w:p w:rsidR="00657AA5" w:rsidRPr="007A7D33" w:rsidRDefault="00657AA5" w:rsidP="00657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578.73 and 24 CFR 578.103(a)(10)</w:t>
            </w:r>
          </w:p>
          <w:p w:rsidR="00C058D2" w:rsidRPr="007A7D33" w:rsidRDefault="00C058D2" w:rsidP="00657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2B7" w:rsidRPr="007A7D33" w:rsidTr="00710DCF">
        <w:tc>
          <w:tcPr>
            <w:tcW w:w="4680" w:type="dxa"/>
          </w:tcPr>
          <w:p w:rsidR="00657AA5" w:rsidRPr="00710DCF" w:rsidRDefault="00657AA5" w:rsidP="0065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</w:t>
            </w:r>
            <w:r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Pr="00710DC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Financial Policies and </w:t>
            </w:r>
            <w:r w:rsidRPr="00710DCF">
              <w:rPr>
                <w:rFonts w:ascii="Times New Roman" w:hAnsi="Times New Roman" w:cs="Times New Roman"/>
                <w:b/>
              </w:rPr>
              <w:t>Procedures</w:t>
            </w:r>
          </w:p>
          <w:p w:rsidR="00657AA5" w:rsidRDefault="00657AA5" w:rsidP="0065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>Maintain fiscal controls, accounting procedures, and procurement procedures to ensure that CoC funds are used appropriately.</w:t>
            </w:r>
          </w:p>
          <w:p w:rsidR="007F53E3" w:rsidRPr="007F53E3" w:rsidRDefault="007F53E3" w:rsidP="00657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3E3">
              <w:rPr>
                <w:rFonts w:ascii="Times New Roman" w:hAnsi="Times New Roman" w:cs="Times New Roman"/>
                <w:b/>
                <w:sz w:val="20"/>
                <w:szCs w:val="20"/>
              </w:rPr>
              <w:t>*2 CFR Part 200</w:t>
            </w:r>
          </w:p>
          <w:p w:rsidR="00A722B7" w:rsidRPr="007A7D33" w:rsidRDefault="00A722B7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8" w:type="dxa"/>
          </w:tcPr>
          <w:p w:rsidR="00657AA5" w:rsidRPr="00710DCF" w:rsidRDefault="00657AA5" w:rsidP="0065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00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DCF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DCF">
              <w:rPr>
                <w:rFonts w:ascii="Times New Roman" w:hAnsi="Times New Roman" w:cs="Times New Roman"/>
              </w:rPr>
              <w:instrText xml:space="preserve"> FORMCHECKBOX </w:instrText>
            </w:r>
            <w:r w:rsidR="00204FA9">
              <w:rPr>
                <w:rFonts w:ascii="Times New Roman" w:hAnsi="Times New Roman" w:cs="Times New Roman"/>
              </w:rPr>
            </w:r>
            <w:r w:rsidR="00204FA9">
              <w:rPr>
                <w:rFonts w:ascii="Times New Roman" w:hAnsi="Times New Roman" w:cs="Times New Roman"/>
              </w:rPr>
              <w:fldChar w:fldCharType="separate"/>
            </w:r>
            <w:r w:rsidRPr="00710DCF">
              <w:rPr>
                <w:rFonts w:ascii="Times New Roman" w:hAnsi="Times New Roman" w:cs="Times New Roman"/>
              </w:rPr>
              <w:fldChar w:fldCharType="end"/>
            </w:r>
            <w:r w:rsidRPr="00710DCF">
              <w:rPr>
                <w:rFonts w:ascii="Times New Roman" w:hAnsi="Times New Roman" w:cs="Times New Roman"/>
              </w:rPr>
              <w:t xml:space="preserve">     </w:t>
            </w:r>
            <w:r w:rsidRPr="00710DCF">
              <w:rPr>
                <w:rFonts w:ascii="Times New Roman" w:hAnsi="Times New Roman" w:cs="Times New Roman"/>
                <w:b/>
              </w:rPr>
              <w:t>Homeless Participation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sz w:val="20"/>
                <w:szCs w:val="20"/>
              </w:rPr>
              <w:t xml:space="preserve">Enable homeless or formerly homeless persons the opportunity to participate in </w:t>
            </w:r>
            <w:r w:rsidRPr="007F53E3">
              <w:rPr>
                <w:rFonts w:ascii="Times New Roman" w:hAnsi="Times New Roman" w:cs="Times New Roman"/>
                <w:sz w:val="20"/>
                <w:szCs w:val="20"/>
              </w:rPr>
              <w:t xml:space="preserve">policymaking </w:t>
            </w:r>
            <w:r w:rsidRPr="007F53E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on the board of directors or other equivalent policymaking entity</w:t>
            </w:r>
            <w:r w:rsidRPr="007F5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7AA5" w:rsidRPr="007A7D33" w:rsidRDefault="00657AA5" w:rsidP="00657AA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33">
              <w:rPr>
                <w:rFonts w:ascii="Times New Roman" w:hAnsi="Times New Roman" w:cs="Times New Roman"/>
                <w:b/>
                <w:sz w:val="20"/>
                <w:szCs w:val="20"/>
              </w:rPr>
              <w:t>24 CFR 578.75(g)(1) and 24 CFR 578.103(a)(12)</w:t>
            </w:r>
          </w:p>
          <w:p w:rsidR="00A722B7" w:rsidRPr="007A7D33" w:rsidRDefault="00A722B7" w:rsidP="00657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D33" w:rsidRPr="002913EB" w:rsidRDefault="00892CCF" w:rsidP="007A7D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7D33">
        <w:rPr>
          <w:rFonts w:ascii="Times New Roman" w:hAnsi="Times New Roman" w:cs="Times New Roman"/>
          <w:b/>
          <w:sz w:val="20"/>
          <w:szCs w:val="20"/>
        </w:rPr>
        <w:t>NOTE</w:t>
      </w:r>
      <w:r w:rsidRPr="007A7D33">
        <w:rPr>
          <w:rFonts w:ascii="Times New Roman" w:hAnsi="Times New Roman" w:cs="Times New Roman"/>
          <w:sz w:val="20"/>
          <w:szCs w:val="20"/>
        </w:rPr>
        <w:t xml:space="preserve">:  </w:t>
      </w:r>
      <w:r w:rsidRPr="002913EB">
        <w:rPr>
          <w:rFonts w:ascii="Times New Roman" w:hAnsi="Times New Roman" w:cs="Times New Roman"/>
          <w:sz w:val="20"/>
          <w:szCs w:val="20"/>
        </w:rPr>
        <w:t xml:space="preserve">For additional guidance, please refer to the following resource materials: </w:t>
      </w:r>
    </w:p>
    <w:p w:rsidR="006B0034" w:rsidRDefault="00892CCF" w:rsidP="006B0034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2913EB">
        <w:rPr>
          <w:rFonts w:ascii="Times New Roman" w:hAnsi="Times New Roman" w:cs="Times New Roman"/>
          <w:sz w:val="20"/>
          <w:szCs w:val="20"/>
        </w:rPr>
        <w:t xml:space="preserve">(1) Homeless Emergency Assistance and Rapid Transition to Housing: Continuum of Care Program </w:t>
      </w:r>
      <w:r w:rsidR="007A7D33" w:rsidRPr="002913EB">
        <w:rPr>
          <w:rFonts w:ascii="Times New Roman" w:hAnsi="Times New Roman" w:cs="Times New Roman"/>
          <w:sz w:val="20"/>
          <w:szCs w:val="20"/>
        </w:rPr>
        <w:t>CoC R</w:t>
      </w:r>
      <w:r w:rsidRPr="002913EB">
        <w:rPr>
          <w:rFonts w:ascii="Times New Roman" w:hAnsi="Times New Roman" w:cs="Times New Roman"/>
          <w:sz w:val="20"/>
          <w:szCs w:val="20"/>
        </w:rPr>
        <w:t>egulations at 24 CFR Part 578, and</w:t>
      </w:r>
      <w:r w:rsidR="007A7D33" w:rsidRPr="002913EB">
        <w:rPr>
          <w:rFonts w:ascii="Times New Roman" w:hAnsi="Times New Roman" w:cs="Times New Roman"/>
          <w:sz w:val="20"/>
          <w:szCs w:val="20"/>
        </w:rPr>
        <w:t xml:space="preserve"> (2) </w:t>
      </w:r>
      <w:r w:rsidR="000B5DD6" w:rsidRPr="002913EB">
        <w:rPr>
          <w:rFonts w:ascii="Times New Roman" w:hAnsi="Times New Roman" w:cs="Times New Roman"/>
          <w:sz w:val="20"/>
          <w:szCs w:val="20"/>
        </w:rPr>
        <w:t xml:space="preserve">CPD </w:t>
      </w:r>
      <w:r w:rsidRPr="002913EB">
        <w:rPr>
          <w:rFonts w:ascii="Times New Roman" w:hAnsi="Times New Roman" w:cs="Times New Roman"/>
          <w:sz w:val="20"/>
          <w:szCs w:val="20"/>
        </w:rPr>
        <w:t>Monitoring</w:t>
      </w:r>
      <w:r w:rsidR="000B5DD6" w:rsidRPr="002913EB">
        <w:rPr>
          <w:rFonts w:ascii="Times New Roman" w:hAnsi="Times New Roman" w:cs="Times New Roman"/>
          <w:sz w:val="20"/>
          <w:szCs w:val="20"/>
        </w:rPr>
        <w:t xml:space="preserve"> H</w:t>
      </w:r>
      <w:r w:rsidRPr="002913EB">
        <w:rPr>
          <w:rFonts w:ascii="Times New Roman" w:hAnsi="Times New Roman" w:cs="Times New Roman"/>
          <w:sz w:val="20"/>
          <w:szCs w:val="20"/>
        </w:rPr>
        <w:t>andbook 6509.2 REV-6 CHG-2</w:t>
      </w:r>
      <w:r w:rsidR="001B0596" w:rsidRPr="002913EB">
        <w:rPr>
          <w:rFonts w:ascii="Times New Roman" w:hAnsi="Times New Roman" w:cs="Times New Roman"/>
          <w:sz w:val="20"/>
          <w:szCs w:val="20"/>
        </w:rPr>
        <w:t xml:space="preserve"> at</w:t>
      </w:r>
      <w:r w:rsidR="007A7D33" w:rsidRPr="002913EB">
        <w:rPr>
          <w:rFonts w:ascii="Times New Roman" w:hAnsi="Times New Roman" w:cs="Times New Roman"/>
          <w:sz w:val="20"/>
          <w:szCs w:val="20"/>
        </w:rPr>
        <w:t>:</w:t>
      </w:r>
      <w:r w:rsidR="007A7D33">
        <w:rPr>
          <w:rFonts w:ascii="Times New Roman" w:hAnsi="Times New Roman" w:cs="Times New Roman"/>
          <w:sz w:val="20"/>
          <w:szCs w:val="20"/>
        </w:rPr>
        <w:t xml:space="preserve">  </w:t>
      </w:r>
      <w:hyperlink r:id="rId9" w:history="1">
        <w:r w:rsidR="007A7D33" w:rsidRPr="00702310">
          <w:rPr>
            <w:rStyle w:val="Hyperlink"/>
            <w:rFonts w:ascii="Times New Roman" w:hAnsi="Times New Roman" w:cs="Times New Roman"/>
            <w:sz w:val="20"/>
            <w:szCs w:val="20"/>
          </w:rPr>
          <w:t>http://portal.hud.gov/hudportal/HUD?src=/program_offices/administration/hudclips/handbooks/cpd/6509.2</w:t>
        </w:r>
      </w:hyperlink>
      <w:r w:rsidRPr="00767223">
        <w:rPr>
          <w:sz w:val="18"/>
          <w:szCs w:val="18"/>
        </w:rPr>
        <w:t>.</w:t>
      </w:r>
      <w:r w:rsidR="000812DE">
        <w:rPr>
          <w:sz w:val="18"/>
          <w:szCs w:val="18"/>
        </w:rPr>
        <w:br/>
      </w:r>
      <w:r w:rsidR="000812DE">
        <w:rPr>
          <w:sz w:val="18"/>
          <w:szCs w:val="18"/>
        </w:rPr>
        <w:br/>
      </w:r>
      <w:r w:rsidR="000812DE" w:rsidRPr="00D047A1">
        <w:rPr>
          <w:rFonts w:ascii="Times New Roman" w:hAnsi="Times New Roman" w:cs="Times New Roman"/>
          <w:b/>
          <w:sz w:val="28"/>
          <w:szCs w:val="28"/>
        </w:rPr>
        <w:t>*</w:t>
      </w:r>
      <w:r w:rsidR="00D047A1" w:rsidRPr="00D047A1">
        <w:rPr>
          <w:rFonts w:ascii="Times New Roman" w:hAnsi="Times New Roman" w:cs="Times New Roman"/>
          <w:b/>
          <w:sz w:val="18"/>
          <w:szCs w:val="18"/>
        </w:rPr>
        <w:t>(</w:t>
      </w:r>
      <w:r w:rsidR="00D047A1">
        <w:rPr>
          <w:rFonts w:ascii="Times New Roman" w:hAnsi="Times New Roman" w:cs="Times New Roman"/>
          <w:b/>
          <w:sz w:val="18"/>
          <w:szCs w:val="18"/>
        </w:rPr>
        <w:t>BLOCK</w:t>
      </w:r>
      <w:r w:rsidR="00D047A1" w:rsidRPr="00D047A1">
        <w:rPr>
          <w:rFonts w:ascii="Times New Roman" w:hAnsi="Times New Roman" w:cs="Times New Roman"/>
          <w:b/>
          <w:sz w:val="18"/>
          <w:szCs w:val="18"/>
        </w:rPr>
        <w:t xml:space="preserve"> 8</w:t>
      </w:r>
      <w:r w:rsidR="00D047A1" w:rsidRPr="001441CB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0812DE" w:rsidRPr="001441CB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D047A1" w:rsidRPr="001441CB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0812DE" w:rsidRPr="001441CB">
        <w:rPr>
          <w:rFonts w:ascii="Times New Roman" w:hAnsi="Times New Roman" w:cs="Times New Roman"/>
          <w:b/>
          <w:sz w:val="20"/>
          <w:szCs w:val="20"/>
        </w:rPr>
        <w:t xml:space="preserve">recipient chooses to utilize this </w:t>
      </w:r>
      <w:r w:rsidR="00D047A1" w:rsidRPr="001441CB">
        <w:rPr>
          <w:rFonts w:ascii="Times New Roman" w:hAnsi="Times New Roman" w:cs="Times New Roman"/>
          <w:b/>
          <w:sz w:val="20"/>
          <w:szCs w:val="20"/>
        </w:rPr>
        <w:t>document</w:t>
      </w:r>
      <w:r w:rsidR="000812DE" w:rsidRPr="001441CB">
        <w:rPr>
          <w:rFonts w:ascii="Times New Roman" w:hAnsi="Times New Roman" w:cs="Times New Roman"/>
          <w:b/>
          <w:sz w:val="20"/>
          <w:szCs w:val="20"/>
        </w:rPr>
        <w:t xml:space="preserve"> for </w:t>
      </w:r>
      <w:r w:rsidR="00071DED">
        <w:rPr>
          <w:rFonts w:ascii="Times New Roman" w:hAnsi="Times New Roman" w:cs="Times New Roman"/>
          <w:b/>
          <w:sz w:val="20"/>
          <w:szCs w:val="20"/>
        </w:rPr>
        <w:t>projects</w:t>
      </w:r>
      <w:r w:rsidR="000812DE" w:rsidRPr="001441CB">
        <w:rPr>
          <w:rFonts w:ascii="Times New Roman" w:hAnsi="Times New Roman" w:cs="Times New Roman"/>
          <w:b/>
          <w:sz w:val="20"/>
          <w:szCs w:val="20"/>
        </w:rPr>
        <w:t xml:space="preserve"> funded </w:t>
      </w:r>
      <w:r w:rsidR="00D047A1" w:rsidRPr="001441CB">
        <w:rPr>
          <w:rFonts w:ascii="Times New Roman" w:hAnsi="Times New Roman" w:cs="Times New Roman"/>
          <w:b/>
          <w:sz w:val="20"/>
          <w:szCs w:val="20"/>
          <w:u w:val="single"/>
        </w:rPr>
        <w:t>prior</w:t>
      </w:r>
      <w:r w:rsidR="00D047A1" w:rsidRPr="007750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47A1" w:rsidRPr="001441CB">
        <w:rPr>
          <w:rFonts w:ascii="Times New Roman" w:hAnsi="Times New Roman" w:cs="Times New Roman"/>
          <w:b/>
          <w:sz w:val="20"/>
          <w:szCs w:val="20"/>
        </w:rPr>
        <w:t xml:space="preserve">to the </w:t>
      </w:r>
      <w:r w:rsidR="000812DE" w:rsidRPr="001441CB">
        <w:rPr>
          <w:rFonts w:ascii="Times New Roman" w:hAnsi="Times New Roman" w:cs="Times New Roman"/>
          <w:b/>
          <w:sz w:val="20"/>
          <w:szCs w:val="20"/>
        </w:rPr>
        <w:t>FY 201</w:t>
      </w:r>
      <w:r w:rsidR="00D047A1" w:rsidRPr="001441CB">
        <w:rPr>
          <w:rFonts w:ascii="Times New Roman" w:hAnsi="Times New Roman" w:cs="Times New Roman"/>
          <w:b/>
          <w:sz w:val="20"/>
          <w:szCs w:val="20"/>
        </w:rPr>
        <w:t>5 CoC competition, please refer to</w:t>
      </w:r>
      <w:r w:rsidR="00D047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12DE" w:rsidRPr="007A7D33">
        <w:rPr>
          <w:rFonts w:ascii="Times New Roman" w:hAnsi="Times New Roman" w:cs="Times New Roman"/>
          <w:b/>
          <w:sz w:val="20"/>
          <w:szCs w:val="20"/>
        </w:rPr>
        <w:t>24 CFR 578.103(a), 24 CFR Part 84 and 24 CFR Part 85</w:t>
      </w:r>
      <w:r w:rsidR="00D047A1" w:rsidRPr="007750B5">
        <w:rPr>
          <w:rFonts w:ascii="Times New Roman" w:hAnsi="Times New Roman" w:cs="Times New Roman"/>
          <w:b/>
          <w:sz w:val="20"/>
          <w:szCs w:val="20"/>
        </w:rPr>
        <w:t xml:space="preserve"> for</w:t>
      </w:r>
      <w:r w:rsidR="00D047A1" w:rsidRPr="00D047A1">
        <w:rPr>
          <w:rFonts w:ascii="Times New Roman" w:hAnsi="Times New Roman" w:cs="Times New Roman"/>
          <w:sz w:val="20"/>
          <w:szCs w:val="20"/>
        </w:rPr>
        <w:t xml:space="preserve"> </w:t>
      </w:r>
      <w:r w:rsidR="00D047A1" w:rsidRPr="001441CB">
        <w:rPr>
          <w:rFonts w:ascii="Times New Roman" w:hAnsi="Times New Roman" w:cs="Times New Roman"/>
          <w:b/>
          <w:sz w:val="20"/>
          <w:szCs w:val="20"/>
        </w:rPr>
        <w:t>applicable financial requirements.</w:t>
      </w:r>
    </w:p>
    <w:sectPr w:rsidR="006B0034" w:rsidSect="007A7D33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6B" w:rsidRDefault="00954E6B" w:rsidP="00F32ACC">
      <w:pPr>
        <w:spacing w:after="0" w:line="240" w:lineRule="auto"/>
      </w:pPr>
      <w:r>
        <w:separator/>
      </w:r>
    </w:p>
  </w:endnote>
  <w:endnote w:type="continuationSeparator" w:id="0">
    <w:p w:rsidR="00954E6B" w:rsidRDefault="00954E6B" w:rsidP="00F3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CC" w:rsidRDefault="00F32ACC">
    <w:pPr>
      <w:pStyle w:val="Footer"/>
      <w:jc w:val="right"/>
    </w:pPr>
  </w:p>
  <w:p w:rsidR="00F32ACC" w:rsidRDefault="00F32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6B" w:rsidRDefault="00954E6B" w:rsidP="00F32ACC">
      <w:pPr>
        <w:spacing w:after="0" w:line="240" w:lineRule="auto"/>
      </w:pPr>
      <w:r>
        <w:separator/>
      </w:r>
    </w:p>
  </w:footnote>
  <w:footnote w:type="continuationSeparator" w:id="0">
    <w:p w:rsidR="00954E6B" w:rsidRDefault="00954E6B" w:rsidP="00F3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74" w:rsidRDefault="001D4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B72"/>
    <w:multiLevelType w:val="hybridMultilevel"/>
    <w:tmpl w:val="203A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03E08"/>
    <w:multiLevelType w:val="hybridMultilevel"/>
    <w:tmpl w:val="E83851E8"/>
    <w:lvl w:ilvl="0" w:tplc="75F00C7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F38F2"/>
    <w:multiLevelType w:val="hybridMultilevel"/>
    <w:tmpl w:val="D9B6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D"/>
    <w:rsid w:val="00010C0E"/>
    <w:rsid w:val="00013270"/>
    <w:rsid w:val="000578B8"/>
    <w:rsid w:val="00071DED"/>
    <w:rsid w:val="000812DE"/>
    <w:rsid w:val="000B5DD6"/>
    <w:rsid w:val="000E49B0"/>
    <w:rsid w:val="00124426"/>
    <w:rsid w:val="00126921"/>
    <w:rsid w:val="001441CB"/>
    <w:rsid w:val="001676E1"/>
    <w:rsid w:val="0016772B"/>
    <w:rsid w:val="00177CE8"/>
    <w:rsid w:val="001B0596"/>
    <w:rsid w:val="001B3144"/>
    <w:rsid w:val="001D4774"/>
    <w:rsid w:val="00204FA9"/>
    <w:rsid w:val="00264053"/>
    <w:rsid w:val="002913EB"/>
    <w:rsid w:val="002A3FFD"/>
    <w:rsid w:val="002B78CD"/>
    <w:rsid w:val="002C2DC2"/>
    <w:rsid w:val="00345B82"/>
    <w:rsid w:val="0036744E"/>
    <w:rsid w:val="00383F6D"/>
    <w:rsid w:val="0045555C"/>
    <w:rsid w:val="00475A24"/>
    <w:rsid w:val="004C6235"/>
    <w:rsid w:val="004E2D0A"/>
    <w:rsid w:val="004F0B2D"/>
    <w:rsid w:val="004F729A"/>
    <w:rsid w:val="00517EAD"/>
    <w:rsid w:val="0053118C"/>
    <w:rsid w:val="00534BAC"/>
    <w:rsid w:val="00542A3C"/>
    <w:rsid w:val="00576751"/>
    <w:rsid w:val="00596706"/>
    <w:rsid w:val="005A7CDD"/>
    <w:rsid w:val="005B2FDA"/>
    <w:rsid w:val="005E1C01"/>
    <w:rsid w:val="005F09ED"/>
    <w:rsid w:val="00657AA5"/>
    <w:rsid w:val="00680D4D"/>
    <w:rsid w:val="006B0034"/>
    <w:rsid w:val="006D601D"/>
    <w:rsid w:val="00710DCF"/>
    <w:rsid w:val="00710EC0"/>
    <w:rsid w:val="00713F42"/>
    <w:rsid w:val="00732B02"/>
    <w:rsid w:val="00767223"/>
    <w:rsid w:val="007750B5"/>
    <w:rsid w:val="00787901"/>
    <w:rsid w:val="007A7D33"/>
    <w:rsid w:val="007F53E3"/>
    <w:rsid w:val="00892CCF"/>
    <w:rsid w:val="008F63D3"/>
    <w:rsid w:val="00906537"/>
    <w:rsid w:val="00954E6B"/>
    <w:rsid w:val="009C4BDE"/>
    <w:rsid w:val="009E4F10"/>
    <w:rsid w:val="00A3335C"/>
    <w:rsid w:val="00A64FC6"/>
    <w:rsid w:val="00A722B7"/>
    <w:rsid w:val="00B51B42"/>
    <w:rsid w:val="00B97FEA"/>
    <w:rsid w:val="00BA1498"/>
    <w:rsid w:val="00BB2C41"/>
    <w:rsid w:val="00BB3A86"/>
    <w:rsid w:val="00BC6AC6"/>
    <w:rsid w:val="00BE2A86"/>
    <w:rsid w:val="00BE485F"/>
    <w:rsid w:val="00C008FE"/>
    <w:rsid w:val="00C058D2"/>
    <w:rsid w:val="00C10CBB"/>
    <w:rsid w:val="00C3424B"/>
    <w:rsid w:val="00C35EA6"/>
    <w:rsid w:val="00C40568"/>
    <w:rsid w:val="00C4148F"/>
    <w:rsid w:val="00C87EAA"/>
    <w:rsid w:val="00C933D1"/>
    <w:rsid w:val="00CB5878"/>
    <w:rsid w:val="00D047A1"/>
    <w:rsid w:val="00D43E21"/>
    <w:rsid w:val="00D85A37"/>
    <w:rsid w:val="00DD272F"/>
    <w:rsid w:val="00E06527"/>
    <w:rsid w:val="00E539E6"/>
    <w:rsid w:val="00E62494"/>
    <w:rsid w:val="00ED71A4"/>
    <w:rsid w:val="00F32ACC"/>
    <w:rsid w:val="00FA15C2"/>
    <w:rsid w:val="00F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C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CC"/>
  </w:style>
  <w:style w:type="paragraph" w:styleId="Footer">
    <w:name w:val="footer"/>
    <w:basedOn w:val="Normal"/>
    <w:link w:val="FooterChar"/>
    <w:uiPriority w:val="99"/>
    <w:unhideWhenUsed/>
    <w:rsid w:val="00F3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CC"/>
  </w:style>
  <w:style w:type="character" w:styleId="FollowedHyperlink">
    <w:name w:val="FollowedHyperlink"/>
    <w:basedOn w:val="DefaultParagraphFont"/>
    <w:uiPriority w:val="99"/>
    <w:semiHidden/>
    <w:unhideWhenUsed/>
    <w:rsid w:val="00A33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C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CC"/>
  </w:style>
  <w:style w:type="paragraph" w:styleId="Footer">
    <w:name w:val="footer"/>
    <w:basedOn w:val="Normal"/>
    <w:link w:val="FooterChar"/>
    <w:uiPriority w:val="99"/>
    <w:unhideWhenUsed/>
    <w:rsid w:val="00F32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CC"/>
  </w:style>
  <w:style w:type="character" w:styleId="FollowedHyperlink">
    <w:name w:val="FollowedHyperlink"/>
    <w:basedOn w:val="DefaultParagraphFont"/>
    <w:uiPriority w:val="99"/>
    <w:semiHidden/>
    <w:unhideWhenUsed/>
    <w:rsid w:val="00A33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rtal.hud.gov/hudportal/HUD?src=/program_offices/administration/hudclips/handbooks/cpd/6509.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08FEDC8F424EAD8B7EF43F207E54" ma:contentTypeVersion="8" ma:contentTypeDescription="Create a new document." ma:contentTypeScope="" ma:versionID="02f8b12bf53dc3dab5faaae51701efcd">
  <xsd:schema xmlns:xsd="http://www.w3.org/2001/XMLSchema" xmlns:xs="http://www.w3.org/2001/XMLSchema" xmlns:p="http://schemas.microsoft.com/office/2006/metadata/properties" xmlns:ns2="edfb1fe6-4e42-4abb-907b-2fb9d3d15581" targetNamespace="http://schemas.microsoft.com/office/2006/metadata/properties" ma:root="true" ma:fieldsID="f45b7dae951b804c0575e167203740b9" ns2:_="">
    <xsd:import namespace="edfb1fe6-4e42-4abb-907b-2fb9d3d1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1fe6-4e42-4abb-907b-2fb9d3d15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52182-326E-421B-92A5-5686193C8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39AC0-E184-4EBC-B92F-ECF0F8392FD8}"/>
</file>

<file path=customXml/itemProps3.xml><?xml version="1.0" encoding="utf-8"?>
<ds:datastoreItem xmlns:ds="http://schemas.openxmlformats.org/officeDocument/2006/customXml" ds:itemID="{9C904A5C-56CE-46C4-8F21-EE15FE4DCB37}"/>
</file>

<file path=customXml/itemProps4.xml><?xml version="1.0" encoding="utf-8"?>
<ds:datastoreItem xmlns:ds="http://schemas.openxmlformats.org/officeDocument/2006/customXml" ds:itemID="{8052B127-100B-45D1-AE89-C50A86BF1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 User</dc:creator>
  <cp:lastModifiedBy>Nadab</cp:lastModifiedBy>
  <cp:revision>2</cp:revision>
  <cp:lastPrinted>2016-03-28T14:20:00Z</cp:lastPrinted>
  <dcterms:created xsi:type="dcterms:W3CDTF">2016-05-05T19:38:00Z</dcterms:created>
  <dcterms:modified xsi:type="dcterms:W3CDTF">2016-05-05T19:38:00Z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0x010100BE6808FEDC8F424EAD8B7EF43F207E54</vt:lpwstr>
  </property>
</Properties>
</file>